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highlight w:val="none"/>
              </w:rPr>
            </w:pPr>
            <w:r>
              <w:rPr>
                <w:b/>
                <w:color w:val="000000" w:themeColor="text1"/>
                <w:highlight w:val="none"/>
              </w:rPr>
              <w:t xml:space="preserve">УТВЕРЖДАЮ:</w:t>
            </w:r>
            <w:r>
              <w:rPr>
                <w:b/>
                <w:color w:val="000000" w:themeColor="text1"/>
                <w:highlight w:val="none"/>
              </w:rPr>
            </w:r>
            <w:r>
              <w:rPr>
                <w:b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И.о. заместителя главного инженера по производственной деятельности </w:t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ПАО «Россети Урал» </w:t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/>
                <w:bCs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Д.Ю. Юрин</w:t>
            </w:r>
            <w:r>
              <w:rPr>
                <w:b/>
                <w:bCs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i/>
                <w:color w:val="000000" w:themeColor="text1"/>
                <w:highlight w:val="none"/>
              </w:rPr>
            </w:pPr>
            <w:r>
              <w:rPr>
                <w:i/>
                <w:color w:val="000000" w:themeColor="text1"/>
                <w:highlight w:val="none"/>
              </w:rPr>
              <w:t xml:space="preserve"> </w:t>
            </w:r>
            <w:r>
              <w:rPr>
                <w:i/>
                <w:color w:val="000000" w:themeColor="text1"/>
                <w:highlight w:val="none"/>
              </w:rPr>
            </w:r>
            <w:r>
              <w:rPr>
                <w:i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 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«_____» ________________20__ г.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16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39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9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</w:t>
      </w:r>
      <w:r>
        <w:rPr>
          <w:b/>
          <w:highlight w:val="none"/>
        </w:rPr>
        <w:t xml:space="preserve">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9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9"/>
        <w:jc w:val="center"/>
        <w:rPr>
          <w:b/>
          <w:highlight w:val="none"/>
        </w:rPr>
      </w:pPr>
      <w:r>
        <w:rPr>
          <w:highlight w:val="none"/>
        </w:rPr>
      </w:r>
      <w:r>
        <w:rPr>
          <w:b/>
          <w:highlight w:val="none"/>
        </w:rPr>
        <w:t xml:space="preserve">на </w:t>
      </w:r>
      <w:r>
        <w:rPr>
          <w:b/>
          <w:highlight w:val="none"/>
        </w:rPr>
        <w:t xml:space="preserve">право заключения договора</w:t>
      </w:r>
      <w:r>
        <w:rPr>
          <w:b/>
          <w:highlight w:val="none"/>
        </w:rPr>
        <w:t xml:space="preserve"> на поставку </w:t>
      </w:r>
      <w:r>
        <w:rPr>
          <w:b/>
          <w:highlight w:val="none"/>
        </w:rPr>
        <w:t xml:space="preserve">базовых носителей регистрационных, идентификационных и информационных данных, размещаемых на подстанциях и линиях электропередачи (ЧЭ)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г. Екатеринбург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2026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6"/>
        <w:numPr>
          <w:ilvl w:val="0"/>
          <w:numId w:val="20"/>
        </w:numPr>
        <w:jc w:val="both"/>
        <w:tabs>
          <w:tab w:val="left" w:pos="426" w:leader="none"/>
          <w:tab w:val="left" w:pos="709" w:leader="none"/>
        </w:tabs>
        <w:rPr>
          <w:i/>
          <w:highlight w:val="none"/>
        </w:rPr>
      </w:pPr>
      <w:r>
        <w:rPr>
          <w:rFonts w:eastAsia="SimSun"/>
          <w:b/>
          <w:bCs/>
          <w:iCs/>
          <w:highlight w:val="none"/>
        </w:rPr>
        <w:t xml:space="preserve">Общие сведения о предмете </w:t>
      </w:r>
      <w:r>
        <w:rPr>
          <w:rFonts w:eastAsia="SimSun"/>
          <w:b/>
          <w:bCs/>
          <w:iCs/>
          <w:highlight w:val="none"/>
        </w:rPr>
        <w:t xml:space="preserve">сравнения цен</w:t>
      </w:r>
      <w:r>
        <w:rPr>
          <w:rFonts w:eastAsia="SimSun"/>
          <w:b/>
          <w:bCs/>
          <w:iCs/>
          <w:highlight w:val="none"/>
        </w:rPr>
        <w:t xml:space="preserve"> в электронной форме, </w:t>
      </w:r>
      <w:r>
        <w:rPr>
          <w:rFonts w:eastAsia="SimSun"/>
          <w:b/>
          <w:bCs/>
          <w:iCs/>
          <w:highlight w:val="none"/>
        </w:rPr>
        <w:t xml:space="preserve">участниками которого могут быть только субъекты МСП (далее - закупка):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16"/>
        <w:jc w:val="both"/>
        <w:keepLines w:val="0"/>
        <w:keepNext w:val="0"/>
        <w:spacing w:before="0"/>
        <w:tabs>
          <w:tab w:val="left" w:pos="284" w:leader="none"/>
        </w:tabs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36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</w:t>
      </w:r>
      <w:r>
        <w:rPr>
          <w:highlight w:val="none"/>
        </w:rPr>
        <w:t xml:space="preserve">базовых носителей регистрационных, идентификационных и информационных данных, размещаемых на подстанциях и линиях электропередачи (ЧЭ)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</w:t>
      </w:r>
      <w:r>
        <w:rPr>
          <w:b/>
          <w:highlight w:val="none"/>
        </w:rPr>
        <w:t xml:space="preserve">я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План закупок 2026 года.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«Челябэнерго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b w:val="0"/>
          <w:bCs w:val="0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поставки: </w:t>
      </w:r>
      <w:r>
        <w:rPr>
          <w:b w:val="0"/>
          <w:bCs w:val="0"/>
          <w:highlight w:val="none"/>
        </w:rPr>
        <w:t xml:space="preserve">Челябинская область</w:t>
      </w:r>
      <w:r>
        <w:rPr>
          <w:rFonts w:eastAsia="MS Mincho"/>
          <w:b w:val="0"/>
          <w:bCs w:val="0"/>
          <w:highlight w:val="none"/>
        </w:rPr>
      </w:r>
      <w:r>
        <w:rPr>
          <w:rFonts w:eastAsia="MS Mincho"/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36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 w:val="0"/>
          <w:bCs w:val="0"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60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b w:val="0"/>
          <w:bCs w:val="0"/>
          <w:highlight w:val="none"/>
        </w:rPr>
        <w:t xml:space="preserve">в течение 30 календарных дней с момента письменного согласования  макетов</w:t>
      </w:r>
      <w:r>
        <w:rPr>
          <w:b w:val="0"/>
          <w:bCs w:val="0"/>
          <w:highlight w:val="none"/>
        </w:rPr>
        <w:t xml:space="preserve">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1036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Амортизация</w:t>
      </w:r>
      <w:r>
        <w:rPr>
          <w:highlight w:val="none"/>
        </w:rPr>
        <w:t xml:space="preserve">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9"/>
        <w:gridCol w:w="4110"/>
        <w:gridCol w:w="1695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61622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Поставка базовых носителей регистрационных, идентификационных и информационных данных, размещаемых на подстанциях и линиях электропередачи (ЧЭ)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36 234,00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32.99.53.190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36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6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6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</w:t>
      </w:r>
      <w:r>
        <w:rPr>
          <w:highlight w:val="none"/>
        </w:rPr>
        <w:t xml:space="preserve">дукции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п.4.3.4</w:t>
      </w:r>
      <w:r>
        <w:rPr>
          <w:highlight w:val="none"/>
        </w:rPr>
        <w:t xml:space="preserve"> 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</w:t>
      </w:r>
      <w:r>
        <w:rPr>
          <w:highlight w:val="none"/>
        </w:rPr>
        <w:t xml:space="preserve"> настоящему ТЗ)</w:t>
      </w:r>
      <w:r>
        <w:rPr>
          <w:highlight w:val="none"/>
          <w:vertAlign w:val="superscript"/>
        </w:rPr>
        <w:t xml:space="preserve">[</w:t>
      </w:r>
      <w:r>
        <w:rPr>
          <w:rStyle w:val="1060"/>
          <w:highlight w:val="none"/>
        </w:rPr>
        <w:footnoteReference w:id="3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2"/>
          <w:numId w:val="20"/>
        </w:num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Участник имеет пр</w:t>
      </w:r>
      <w:r>
        <w:rPr>
          <w:highlight w:val="none"/>
        </w:rP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(при их наличии).</w:t>
      </w:r>
      <w:r>
        <w:rPr>
          <w:highlight w:val="none"/>
        </w:rPr>
        <w:t xml:space="preserve"> Решение о согласовании/не согласовании замены </w:t>
      </w:r>
      <w:r>
        <w:rPr>
          <w:highlight w:val="none"/>
        </w:rPr>
        <w:t xml:space="preserve">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2026г.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color w:val="000000" w:themeColor="text1"/>
          <w:highlight w:val="none"/>
        </w:rPr>
        <w:t xml:space="preserve">Технические требования к продукции: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3"/>
          <w:numId w:val="20"/>
        </w:numPr>
        <w:ind w:left="0" w:right="0" w:firstLine="0"/>
        <w:jc w:val="both"/>
        <w:widowControl w:val="off"/>
        <w:tabs>
          <w:tab w:val="left" w:pos="567" w:leader="none"/>
          <w:tab w:val="left" w:pos="992" w:leader="none"/>
        </w:tabs>
        <w:rPr>
          <w:highlight w:val="none"/>
        </w:rPr>
      </w:pPr>
      <w:r>
        <w:rPr>
          <w:highlight w:val="none"/>
        </w:rPr>
      </w:r>
      <w:r>
        <w:rPr>
          <w:i w:val="0"/>
          <w:iCs w:val="0"/>
          <w:highlight w:val="none"/>
        </w:rPr>
        <w:t xml:space="preserve">Гарантийный срок на поставляемую продукцию должен составлять не менее 10 (десяти) лет с момента поставки продукции на склад Грузополучателя.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3"/>
          <w:numId w:val="20"/>
        </w:numPr>
        <w:ind w:left="0" w:right="0" w:firstLine="0"/>
        <w:jc w:val="both"/>
        <w:widowControl w:val="off"/>
        <w:tabs>
          <w:tab w:val="left" w:pos="567" w:leader="none"/>
          <w:tab w:val="left" w:pos="992" w:leader="none"/>
        </w:tabs>
        <w:rPr>
          <w:highlight w:val="none"/>
        </w:rPr>
      </w:pPr>
      <w:r>
        <w:rPr>
          <w:i w:val="0"/>
          <w:iCs w:val="0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После подготовки макетов для печати Исполнитель направляет куратору договора на согласование формы в электронном виде для исключения несоответствий, опечаток и т.п.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2"/>
          <w:numId w:val="20"/>
        </w:numPr>
        <w:ind w:left="0" w:hanging="11"/>
        <w:jc w:val="both"/>
        <w:tabs>
          <w:tab w:val="left" w:pos="993" w:leader="none"/>
        </w:tabs>
        <w:rPr>
          <w:rFonts w:eastAsiaTheme="minorHAnsi"/>
          <w:highlight w:val="none"/>
        </w:rPr>
      </w:pPr>
      <w:r>
        <w:rPr>
          <w:highlight w:val="none"/>
        </w:rPr>
        <w:t xml:space="preserve">В отношении продукции, указанной в приложении </w:t>
      </w:r>
      <w:r>
        <w:rPr>
          <w:highlight w:val="none"/>
        </w:rPr>
        <w:t xml:space="preserve">№4  к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а именно</w:t>
      </w:r>
      <w:r>
        <w:rPr>
          <w:highlight w:val="none"/>
        </w:rPr>
        <w:t xml:space="preserve"> </w:t>
      </w:r>
      <w:r>
        <w:rPr>
          <w:highlight w:val="none"/>
        </w:rPr>
        <w:t xml:space="preserve">позиции №1-2</w:t>
      </w:r>
      <w:r>
        <w:rPr>
          <w:rStyle w:val="1029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46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7" w:name="_Toc439063131"/>
      <w:r>
        <w:rPr>
          <w:highlight w:val="none"/>
        </w:rPr>
      </w:r>
      <w:bookmarkStart w:id="8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47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highlight w:val="none"/>
        </w:rPr>
      </w:pPr>
      <w:r>
        <w:rPr>
          <w:rFonts w:eastAsia="MS Mincho"/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48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48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6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48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</w:t>
      </w:r>
      <w:r>
        <w:rPr>
          <w:rFonts w:eastAsia="Calibri"/>
          <w:szCs w:val="24"/>
          <w:highlight w:val="none"/>
          <w:lang w:eastAsia="en-US"/>
        </w:rPr>
        <w:t xml:space="preserve">тветствия технической части (пункты 1 и 2 под таблицей со знаком «*»).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</w:pPr>
      <w:r>
        <w:rPr>
          <w:rFonts w:eastAsia="Calibri"/>
          <w:highlight w:val="none"/>
        </w:rPr>
        <w:t xml:space="preserve">В столбце «Ставка НДС, %» Участник указывает размер применяемой ставки НДС в процентах (5, 10, 22 и пр.). В случае применения упрощенной системы налогообложения (без НДС) в столбце «Ставка НДС, %»  указывается 0 или столбец не заполняется.</w:t>
      </w:r>
      <w:r>
        <w:rPr>
          <w:rFonts w:eastAsia="Calibri"/>
          <w:highlight w:val="none"/>
        </w:rPr>
      </w:r>
      <w:r/>
    </w:p>
    <w:p>
      <w:pPr>
        <w:pStyle w:val="1048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заданию.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szCs w:val="24"/>
          <w:highlight w:val="none"/>
          <w:lang w:eastAsia="en-US"/>
        </w:rPr>
        <w:t xml:space="preserve">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  <w:lang w:eastAsia="en-US"/>
        </w:rPr>
        <w:t xml:space="preserve">В столбце «Наименование производителя, ИНН» указывается только 1 (один) </w:t>
      </w:r>
      <w:r>
        <w:rPr>
          <w:rFonts w:eastAsia="Calibri"/>
          <w:highlight w:val="none"/>
          <w:lang w:eastAsia="en-US"/>
        </w:rPr>
        <w:t xml:space="preserve">производите</w:t>
      </w:r>
      <w:r>
        <w:rPr>
          <w:rFonts w:eastAsia="Calibri"/>
          <w:highlight w:val="none"/>
          <w:lang w:eastAsia="en-US"/>
        </w:rPr>
        <w:t xml:space="preserve">ль продукции.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highlight w:val="none"/>
        </w:rPr>
        <w:t xml:space="preserve">В столбце «ГОСТ, технический регламент, Техусловия (ТУ) на изготовление» Участником указывается конкретный «ГОСТ, технический регламент, Технические условия (ТУ) на изг</w:t>
      </w:r>
      <w:r>
        <w:rPr>
          <w:rFonts w:eastAsia="Calibri"/>
          <w:highlight w:val="none"/>
        </w:rPr>
        <w:t xml:space="preserve">отовление» по каждой номенклатурной позиции.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ц</w:t>
      </w:r>
      <w:r>
        <w:rPr>
          <w:highlight w:val="none"/>
        </w:rPr>
        <w:t xml:space="preserve">елях подтверждения страны происхождения товара</w:t>
      </w:r>
      <w:r>
        <w:rPr>
          <w:highlight w:val="none"/>
        </w:rPr>
        <w:t xml:space="preserve"> в соответствии с п.1.10.7 Технического задания</w:t>
      </w:r>
      <w:r>
        <w:rPr>
          <w:highlight w:val="none"/>
        </w:rPr>
        <w:t xml:space="preserve"> Участник в </w:t>
      </w:r>
      <w:r>
        <w:rPr>
          <w:highlight w:val="none"/>
        </w:rPr>
        <w:t xml:space="preserve">Приложении </w:t>
      </w:r>
      <w:r>
        <w:rPr>
          <w:rFonts w:eastAsia="Calibri"/>
          <w:szCs w:val="24"/>
          <w:highlight w:val="none"/>
          <w:lang w:eastAsia="en-US"/>
        </w:rPr>
        <w:t xml:space="preserve">№4 к Техническому заданию</w:t>
      </w:r>
      <w:r>
        <w:rPr>
          <w:highlight w:val="none"/>
        </w:rPr>
        <w:t xml:space="preserve"> заполняет столбец 12* «</w:t>
      </w:r>
      <w:r>
        <w:rPr>
          <w:highlight w:val="non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none"/>
        </w:rPr>
        <w:t xml:space="preserve">» по каждой номенклатурной позиции</w:t>
      </w:r>
      <w:r>
        <w:rPr>
          <w:highlight w:val="none"/>
        </w:rPr>
        <w:t xml:space="preserve"> с  обязательным указанием в столбце 13* </w:t>
      </w:r>
      <w:r>
        <w:rPr>
          <w:highlight w:val="non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none"/>
        </w:rPr>
        <w:t xml:space="preserve">(при их наличии).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случае непредоставления / </w:t>
      </w:r>
      <w:r>
        <w:rPr>
          <w:highlight w:val="none"/>
        </w:rPr>
        <w:t xml:space="preserve">не полного предоставления / </w:t>
      </w:r>
      <w:r>
        <w:rPr>
          <w:highlight w:val="none"/>
        </w:rPr>
        <w:t xml:space="preserve">некорректного предоставления </w:t>
      </w:r>
      <w:r>
        <w:rPr>
          <w:highlight w:val="none"/>
        </w:rPr>
        <w:t xml:space="preserve">/ </w:t>
      </w:r>
      <w:r>
        <w:rPr>
          <w:highlight w:val="none"/>
        </w:rPr>
        <w:t xml:space="preserve">предоставления недостоверных сведений в столбцах 12* и 13*, заявка такого Участника </w:t>
      </w:r>
      <w:r>
        <w:rPr>
          <w:highlight w:val="none"/>
        </w:rPr>
        <w:t xml:space="preserve">приравнивается к заявке на участие в закупке, в которой содержится предложение о поставке товара, происходящего из иностранного государства.</w:t>
      </w:r>
      <w:r>
        <w:rPr>
          <w:highlight w:val="none"/>
        </w:rPr>
        <w:t xml:space="preserve">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 случае нарушения требований инструкции 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3</w:t>
      </w:r>
      <w:r>
        <w:rPr>
          <w:rFonts w:eastAsia="Calibri"/>
          <w:szCs w:val="24"/>
          <w:highlight w:val="none"/>
          <w:lang w:eastAsia="en-US"/>
        </w:rPr>
        <w:t xml:space="preserve">.1.</w:t>
      </w:r>
      <w:r>
        <w:rPr>
          <w:rFonts w:eastAsia="Calibri"/>
          <w:szCs w:val="24"/>
          <w:highlight w:val="none"/>
          <w:lang w:eastAsia="en-US"/>
        </w:rPr>
        <w:t xml:space="preserve">10</w:t>
      </w:r>
      <w:r>
        <w:rPr>
          <w:rFonts w:eastAsia="Calibri"/>
          <w:szCs w:val="24"/>
          <w:highlight w:val="cyan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настоящего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Информация, указанная Участником в приложении № 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, в дальнейшем изменению не подлежит.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8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8"/>
        <w:numPr>
          <w:ilvl w:val="0"/>
          <w:numId w:val="0"/>
        </w:numPr>
        <w:widowControl w:val="off"/>
        <w:tabs>
          <w:tab w:val="left" w:pos="0" w:leader="none"/>
          <w:tab w:val="left" w:pos="142" w:leader="none"/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3</w:t>
      </w:r>
      <w:r>
        <w:rPr>
          <w:highlight w:val="none"/>
        </w:rPr>
        <w:t xml:space="preserve">.2.</w:t>
        <w:tab/>
        <w:t xml:space="preserve">Заполненные Участником опросные листы, чертежи (приложение №5 к Техническому заданию) в соответствии с инструкцией по заполнению (приложение №5.1 Техническому заданию). В случае предложения Участником эквивалента заказываемой продукции: в подтверждение</w:t>
      </w:r>
      <w:r>
        <w:rPr>
          <w:highlight w:val="none"/>
        </w:rPr>
        <w:t xml:space="preserve"> соответствия техническим требованиям заказываемой продукции согласно Приложения №4 к ТЗ, параметры заменяемой продукции должны быть отражены в заполненных опросных листах (приложение №5 Техническому заданию).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0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0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0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0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0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0"/>
        <w:ind w:left="709" w:right="0" w:firstLine="0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6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45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45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7"/>
      <w:r>
        <w:rPr>
          <w:highlight w:val="none"/>
        </w:rPr>
      </w:r>
      <w:bookmarkEnd w:id="8"/>
      <w:r>
        <w:rPr>
          <w:rStyle w:val="1045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0" w:name="_Toc8120155"/>
      <w:r>
        <w:rPr>
          <w:rStyle w:val="1045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45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45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45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0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45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45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45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45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1" w:name="_Toc536483690"/>
      <w:r>
        <w:rPr>
          <w:highlight w:val="none"/>
        </w:rPr>
      </w:r>
      <w:bookmarkStart w:id="12" w:name="_Toc536628829"/>
      <w:r>
        <w:rPr>
          <w:highlight w:val="none"/>
        </w:rPr>
      </w:r>
      <w:bookmarkStart w:id="13" w:name="_Toc2757058"/>
      <w:r>
        <w:rPr>
          <w:highlight w:val="none"/>
        </w:rPr>
      </w:r>
      <w:bookmarkEnd w:id="11"/>
      <w:r/>
      <w:bookmarkEnd w:id="12"/>
      <w:r/>
      <w:bookmarkEnd w:id="13"/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36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i/>
          <w:highlight w:val="none"/>
        </w:rPr>
        <w:outlineLvl w:val="0"/>
      </w:pPr>
      <w:r>
        <w:rPr>
          <w:rStyle w:val="1045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</w:t>
      </w:r>
      <w:r>
        <w:rPr>
          <w:rStyle w:val="1045"/>
          <w:rFonts w:ascii="Times New Roman" w:hAnsi="Times New Roman" w:cs="Times New Roman"/>
          <w:b/>
          <w:i/>
          <w:color w:val="auto"/>
          <w:highlight w:val="none"/>
        </w:rPr>
        <w:t xml:space="preserve">5</w:t>
      </w:r>
      <w:r>
        <w:rPr>
          <w:rStyle w:val="1045"/>
          <w:rFonts w:ascii="Times New Roman" w:hAnsi="Times New Roman" w:cs="Times New Roman"/>
          <w:b/>
          <w:i/>
          <w:color w:val="auto"/>
          <w:highlight w:val="none"/>
        </w:rPr>
        <w:t xml:space="preserve"> </w:t>
      </w:r>
      <w:r>
        <w:rPr>
          <w:rStyle w:val="1045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Опросные листы </w:t>
      </w:r>
      <w:r>
        <w:rPr>
          <w:rFonts w:eastAsiaTheme="majorEastAsia"/>
          <w:highlight w:val="none"/>
        </w:rPr>
        <w:t xml:space="preserve">с инструкцией по заполнению (Приложение 5.1.)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bCs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highlight w:val="none"/>
        </w:rPr>
        <w:t xml:space="preserve">Техническое задан</w:t>
      </w:r>
      <w:r>
        <w:rPr>
          <w:b w:val="0"/>
          <w:bCs w:val="0"/>
          <w:highlight w:val="none"/>
        </w:rPr>
        <w:t xml:space="preserve">ие 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ab/>
            </w:r>
            <w:r>
              <w:rPr>
                <w:b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Фамилия, инициалы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Начальник ОЛиМТО ДЗЛиМТО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Губина О.С.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7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57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  <w:highlight w:val="none"/>
        </w:rPr>
        <w:outlineLvl w:val="1"/>
      </w:pPr>
      <w:r>
        <w:rPr>
          <w:highlight w:val="none"/>
        </w:rPr>
      </w:r>
      <w:r>
        <w:rPr>
          <w:sz w:val="28"/>
          <w:szCs w:val="28"/>
          <w:highlight w:val="none"/>
        </w:rPr>
        <w:t xml:space="preserve">Поставка базовых носителей регистрационных, идентификационных и информационных данных, размещаемых на подстанциях и линиях электропередачи (ЧЭ)</w:t>
      </w:r>
      <w:r>
        <w:rPr>
          <w:sz w:val="28"/>
          <w:szCs w:val="28"/>
          <w:highlight w:val="none"/>
        </w:rPr>
      </w:r>
      <w:bookmarkStart w:id="16" w:name="l152"/>
      <w:r>
        <w:rPr>
          <w:highlight w:val="none"/>
        </w:rPr>
      </w:r>
      <w:bookmarkEnd w:id="16"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  <w:trHeight w:val="748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17" w:name="l55"/>
            <w:r>
              <w:rPr>
                <w:highlight w:val="none"/>
              </w:rPr>
            </w:r>
            <w:bookmarkEnd w:id="17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36 234,00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3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Нормативный метод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0"/>
              <w:tabs>
                <w:tab w:val="left" w:pos="665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left="0" w:right="0" w:firstLine="0"/>
              <w:spacing w:after="300"/>
              <w:rPr>
                <w:i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Единый стандарт закупок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i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  <w:t xml:space="preserve">Приложение №1.1. к Техническому заданию – Расчет НМЦ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1013"/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4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0"/>
      <w:rPr>
        <w:rStyle w:val="1042"/>
      </w:rPr>
      <w:framePr w:wrap="around" w:vAnchor="text" w:hAnchor="margin" w:xAlign="center" w:y="1"/>
    </w:pPr>
    <w:r>
      <w:rPr>
        <w:rStyle w:val="1042"/>
      </w:rPr>
      <w:fldChar w:fldCharType="begin"/>
    </w:r>
    <w:r>
      <w:rPr>
        <w:rStyle w:val="1042"/>
      </w:rPr>
      <w:instrText xml:space="preserve">PAGE  </w:instrText>
    </w:r>
    <w:r>
      <w:rPr>
        <w:rStyle w:val="1042"/>
      </w:rPr>
      <w:fldChar w:fldCharType="end"/>
    </w:r>
    <w:r>
      <w:rPr>
        <w:rStyle w:val="1042"/>
      </w:rPr>
    </w:r>
    <w:r>
      <w:rPr>
        <w:rStyle w:val="1042"/>
      </w:rPr>
    </w:r>
  </w:p>
  <w:p>
    <w:pPr>
      <w:pStyle w:val="104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60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58"/>
      </w:pPr>
      <w:r/>
      <w:r/>
    </w:p>
  </w:footnote>
  <w:footnote w:id="3">
    <w:p>
      <w:pPr>
        <w:pStyle w:val="1058"/>
        <w:jc w:val="both"/>
        <w:rPr>
          <w:sz w:val="18"/>
          <w:szCs w:val="18"/>
        </w:rPr>
      </w:pPr>
      <w:r>
        <w:rPr>
          <w:rStyle w:val="1060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37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37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58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49"/>
    <w:lvl w:ilvl="0">
      <w:start w:val="1"/>
      <w:numFmt w:val="decimal"/>
      <w:pStyle w:val="104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47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48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50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51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52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53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49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49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49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1049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46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7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48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50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1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2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3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46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47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46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7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48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pStyle w:val="1050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1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2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3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46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7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48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1050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1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2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53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40"/>
  </w:num>
  <w:num w:numId="46">
    <w:abstractNumId w:val="41"/>
  </w:num>
  <w:num w:numId="47">
    <w:abstractNumId w:val="42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5">
    <w:name w:val="Heading 1 Char"/>
    <w:basedOn w:val="1017"/>
    <w:link w:val="1013"/>
    <w:uiPriority w:val="9"/>
    <w:rPr>
      <w:rFonts w:ascii="Arial" w:hAnsi="Arial" w:eastAsia="Arial" w:cs="Arial"/>
      <w:sz w:val="40"/>
      <w:szCs w:val="40"/>
    </w:rPr>
  </w:style>
  <w:style w:type="character" w:styleId="846">
    <w:name w:val="Heading 2 Char"/>
    <w:basedOn w:val="1017"/>
    <w:link w:val="1014"/>
    <w:uiPriority w:val="9"/>
    <w:rPr>
      <w:rFonts w:ascii="Arial" w:hAnsi="Arial" w:eastAsia="Arial" w:cs="Arial"/>
      <w:sz w:val="34"/>
    </w:rPr>
  </w:style>
  <w:style w:type="character" w:styleId="847">
    <w:name w:val="Heading 3 Char"/>
    <w:basedOn w:val="1017"/>
    <w:link w:val="1015"/>
    <w:uiPriority w:val="9"/>
    <w:rPr>
      <w:rFonts w:ascii="Arial" w:hAnsi="Arial" w:eastAsia="Arial" w:cs="Arial"/>
      <w:sz w:val="30"/>
      <w:szCs w:val="30"/>
    </w:rPr>
  </w:style>
  <w:style w:type="paragraph" w:styleId="848">
    <w:name w:val="Heading 4"/>
    <w:basedOn w:val="1012"/>
    <w:next w:val="1012"/>
    <w:link w:val="8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49">
    <w:name w:val="Heading 4 Char"/>
    <w:basedOn w:val="1017"/>
    <w:link w:val="848"/>
    <w:uiPriority w:val="9"/>
    <w:rPr>
      <w:rFonts w:ascii="Arial" w:hAnsi="Arial" w:eastAsia="Arial" w:cs="Arial"/>
      <w:b/>
      <w:bCs/>
      <w:sz w:val="26"/>
      <w:szCs w:val="26"/>
    </w:rPr>
  </w:style>
  <w:style w:type="character" w:styleId="850">
    <w:name w:val="Heading 5 Char"/>
    <w:basedOn w:val="1017"/>
    <w:link w:val="1016"/>
    <w:uiPriority w:val="9"/>
    <w:rPr>
      <w:rFonts w:ascii="Arial" w:hAnsi="Arial" w:eastAsia="Arial" w:cs="Arial"/>
      <w:b/>
      <w:bCs/>
      <w:sz w:val="24"/>
      <w:szCs w:val="24"/>
    </w:rPr>
  </w:style>
  <w:style w:type="paragraph" w:styleId="851">
    <w:name w:val="Heading 6"/>
    <w:basedOn w:val="1012"/>
    <w:next w:val="1012"/>
    <w:link w:val="8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52">
    <w:name w:val="Heading 6 Char"/>
    <w:basedOn w:val="1017"/>
    <w:link w:val="851"/>
    <w:uiPriority w:val="9"/>
    <w:rPr>
      <w:rFonts w:ascii="Arial" w:hAnsi="Arial" w:eastAsia="Arial" w:cs="Arial"/>
      <w:b/>
      <w:bCs/>
      <w:sz w:val="22"/>
      <w:szCs w:val="22"/>
    </w:rPr>
  </w:style>
  <w:style w:type="paragraph" w:styleId="853">
    <w:name w:val="Heading 7"/>
    <w:basedOn w:val="1012"/>
    <w:next w:val="1012"/>
    <w:link w:val="8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54">
    <w:name w:val="Heading 7 Char"/>
    <w:basedOn w:val="1017"/>
    <w:link w:val="8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5">
    <w:name w:val="Heading 8"/>
    <w:basedOn w:val="1012"/>
    <w:next w:val="1012"/>
    <w:link w:val="8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56">
    <w:name w:val="Heading 8 Char"/>
    <w:basedOn w:val="1017"/>
    <w:link w:val="855"/>
    <w:uiPriority w:val="9"/>
    <w:rPr>
      <w:rFonts w:ascii="Arial" w:hAnsi="Arial" w:eastAsia="Arial" w:cs="Arial"/>
      <w:i/>
      <w:iCs/>
      <w:sz w:val="22"/>
      <w:szCs w:val="22"/>
    </w:rPr>
  </w:style>
  <w:style w:type="paragraph" w:styleId="857">
    <w:name w:val="Heading 9"/>
    <w:basedOn w:val="1012"/>
    <w:next w:val="1012"/>
    <w:link w:val="8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8">
    <w:name w:val="Heading 9 Char"/>
    <w:basedOn w:val="1017"/>
    <w:link w:val="857"/>
    <w:uiPriority w:val="9"/>
    <w:rPr>
      <w:rFonts w:ascii="Arial" w:hAnsi="Arial" w:eastAsia="Arial" w:cs="Arial"/>
      <w:i/>
      <w:iCs/>
      <w:sz w:val="21"/>
      <w:szCs w:val="21"/>
    </w:rPr>
  </w:style>
  <w:style w:type="character" w:styleId="859">
    <w:name w:val="Title Char"/>
    <w:basedOn w:val="1017"/>
    <w:link w:val="1024"/>
    <w:uiPriority w:val="10"/>
    <w:rPr>
      <w:sz w:val="48"/>
      <w:szCs w:val="48"/>
    </w:rPr>
  </w:style>
  <w:style w:type="paragraph" w:styleId="860">
    <w:name w:val="Subtitle"/>
    <w:basedOn w:val="1012"/>
    <w:next w:val="1012"/>
    <w:link w:val="861"/>
    <w:uiPriority w:val="11"/>
    <w:qFormat/>
    <w:pPr>
      <w:spacing w:before="200" w:after="200"/>
    </w:pPr>
    <w:rPr>
      <w:sz w:val="24"/>
      <w:szCs w:val="24"/>
    </w:rPr>
  </w:style>
  <w:style w:type="character" w:styleId="861">
    <w:name w:val="Subtitle Char"/>
    <w:basedOn w:val="1017"/>
    <w:link w:val="860"/>
    <w:uiPriority w:val="11"/>
    <w:rPr>
      <w:sz w:val="24"/>
      <w:szCs w:val="24"/>
    </w:rPr>
  </w:style>
  <w:style w:type="paragraph" w:styleId="862">
    <w:name w:val="Quote"/>
    <w:basedOn w:val="1012"/>
    <w:next w:val="1012"/>
    <w:link w:val="863"/>
    <w:uiPriority w:val="29"/>
    <w:qFormat/>
    <w:pPr>
      <w:ind w:left="720" w:right="720"/>
    </w:pPr>
    <w:rPr>
      <w:i/>
    </w:rPr>
  </w:style>
  <w:style w:type="character" w:styleId="863">
    <w:name w:val="Quote Char"/>
    <w:link w:val="862"/>
    <w:uiPriority w:val="29"/>
    <w:rPr>
      <w:i/>
    </w:rPr>
  </w:style>
  <w:style w:type="paragraph" w:styleId="864">
    <w:name w:val="Intense Quote"/>
    <w:basedOn w:val="1012"/>
    <w:next w:val="1012"/>
    <w:link w:val="8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5">
    <w:name w:val="Intense Quote Char"/>
    <w:link w:val="864"/>
    <w:uiPriority w:val="30"/>
    <w:rPr>
      <w:i/>
    </w:rPr>
  </w:style>
  <w:style w:type="paragraph" w:styleId="866">
    <w:name w:val="Header"/>
    <w:basedOn w:val="1012"/>
    <w:link w:val="8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67">
    <w:name w:val="Header Char"/>
    <w:basedOn w:val="1017"/>
    <w:link w:val="866"/>
    <w:uiPriority w:val="99"/>
  </w:style>
  <w:style w:type="character" w:styleId="868">
    <w:name w:val="Footer Char"/>
    <w:basedOn w:val="1017"/>
    <w:link w:val="1040"/>
    <w:uiPriority w:val="99"/>
  </w:style>
  <w:style w:type="paragraph" w:styleId="869">
    <w:name w:val="Caption"/>
    <w:basedOn w:val="1012"/>
    <w:next w:val="1012"/>
    <w:link w:val="87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0">
    <w:name w:val="Caption Char"/>
    <w:basedOn w:val="1017"/>
    <w:link w:val="869"/>
    <w:uiPriority w:val="35"/>
    <w:rPr>
      <w:b/>
      <w:bCs/>
      <w:color w:val="4f81bd" w:themeColor="accent1"/>
      <w:sz w:val="18"/>
      <w:szCs w:val="18"/>
    </w:rPr>
  </w:style>
  <w:style w:type="table" w:styleId="871">
    <w:name w:val="Table Grid"/>
    <w:basedOn w:val="10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2">
    <w:name w:val="Table Grid Light"/>
    <w:basedOn w:val="10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3">
    <w:name w:val="Plain Table 1"/>
    <w:basedOn w:val="10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4">
    <w:name w:val="Plain Table 2"/>
    <w:basedOn w:val="10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5">
    <w:name w:val="Plain Table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6">
    <w:name w:val="Plain Table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Plain Table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8">
    <w:name w:val="Grid Table 1 Light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Grid Table 1 Light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1 Light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Grid Table 1 Light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Grid Table 1 Light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Grid Table 1 Light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1 Light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2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2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2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2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2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2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3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3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3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4"/>
    <w:basedOn w:val="10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0">
    <w:name w:val="Grid Table 4 - Accent 1"/>
    <w:basedOn w:val="10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1">
    <w:name w:val="Grid Table 4 - Accent 2"/>
    <w:basedOn w:val="10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2">
    <w:name w:val="Grid Table 4 - Accent 3"/>
    <w:basedOn w:val="10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3">
    <w:name w:val="Grid Table 4 - Accent 4"/>
    <w:basedOn w:val="10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4">
    <w:name w:val="Grid Table 4 - Accent 5"/>
    <w:basedOn w:val="10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5">
    <w:name w:val="Grid Table 4 - Accent 6"/>
    <w:basedOn w:val="10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6">
    <w:name w:val="Grid Table 5 Dark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7">
    <w:name w:val="Grid Table 5 Dark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08">
    <w:name w:val="Grid Table 5 Dark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09">
    <w:name w:val="Grid Table 5 Dark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10">
    <w:name w:val="Grid Table 5 Dark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11">
    <w:name w:val="Grid Table 5 Dark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12">
    <w:name w:val="Grid Table 5 Dark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3">
    <w:name w:val="Grid Table 6 Colorful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4">
    <w:name w:val="Grid Table 6 Colorful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5">
    <w:name w:val="Grid Table 6 Colorful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6">
    <w:name w:val="Grid Table 6 Colorful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7">
    <w:name w:val="Grid Table 6 Colorful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8">
    <w:name w:val="Grid Table 6 Colorful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9">
    <w:name w:val="Grid Table 6 Colorful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0">
    <w:name w:val="Grid Table 7 Colorful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7 Colorful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7 Colorful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7 Colorful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7 Colorful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7 Colorful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7 Colorful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1 Light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1 Light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1 Light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1 Light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5">
    <w:name w:val="List Table 2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6">
    <w:name w:val="List Table 2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7">
    <w:name w:val="List Table 2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8">
    <w:name w:val="List Table 2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9">
    <w:name w:val="List Table 2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0">
    <w:name w:val="List Table 2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1">
    <w:name w:val="List Table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3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3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3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3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3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3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4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4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4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5 Dark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6">
    <w:name w:val="List Table 5 Dark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7">
    <w:name w:val="List Table 5 Dark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8">
    <w:name w:val="List Table 5 Dark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9">
    <w:name w:val="List Table 5 Dark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0">
    <w:name w:val="List Table 5 Dark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5 Dark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6 Colorful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3">
    <w:name w:val="List Table 6 Colorful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4">
    <w:name w:val="List Table 6 Colorful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5">
    <w:name w:val="List Table 6 Colorful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6">
    <w:name w:val="List Table 6 Colorful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7">
    <w:name w:val="List Table 6 Colorful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8">
    <w:name w:val="List Table 6 Colorful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9">
    <w:name w:val="List Table 7 Colorful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0">
    <w:name w:val="List Table 7 Colorful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71">
    <w:name w:val="List Table 7 Colorful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72">
    <w:name w:val="List Table 7 Colorful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73">
    <w:name w:val="List Table 7 Colorful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74">
    <w:name w:val="List Table 7 Colorful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75">
    <w:name w:val="List Table 7 Colorful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76">
    <w:name w:val="Lined - Accent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7">
    <w:name w:val="Lined - Accent 1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8">
    <w:name w:val="Lined - Accent 2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9">
    <w:name w:val="Lined - Accent 3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0">
    <w:name w:val="Lined - Accent 4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1">
    <w:name w:val="Lined - Accent 5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2">
    <w:name w:val="Lined - Accent 6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3">
    <w:name w:val="Bordered &amp; Lined - Accent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4">
    <w:name w:val="Bordered &amp; Lined - Accent 1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5">
    <w:name w:val="Bordered &amp; Lined - Accent 2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6">
    <w:name w:val="Bordered &amp; Lined - Accent 3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7">
    <w:name w:val="Bordered &amp; Lined - Accent 4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8">
    <w:name w:val="Bordered &amp; Lined - Accent 5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9">
    <w:name w:val="Bordered &amp; Lined - Accent 6"/>
    <w:basedOn w:val="10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0">
    <w:name w:val="Bordered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1">
    <w:name w:val="Bordered - Accent 1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2">
    <w:name w:val="Bordered - Accent 2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3">
    <w:name w:val="Bordered - Accent 3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4">
    <w:name w:val="Bordered - Accent 4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5">
    <w:name w:val="Bordered - Accent 5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6">
    <w:name w:val="Bordered - Accent 6"/>
    <w:basedOn w:val="10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7">
    <w:name w:val="Footnote Text Char"/>
    <w:link w:val="1058"/>
    <w:uiPriority w:val="99"/>
    <w:rPr>
      <w:sz w:val="18"/>
    </w:rPr>
  </w:style>
  <w:style w:type="paragraph" w:styleId="998">
    <w:name w:val="endnote text"/>
    <w:basedOn w:val="1012"/>
    <w:link w:val="999"/>
    <w:uiPriority w:val="99"/>
    <w:semiHidden/>
    <w:unhideWhenUsed/>
    <w:pPr>
      <w:spacing w:after="0" w:line="240" w:lineRule="auto"/>
    </w:pPr>
    <w:rPr>
      <w:sz w:val="20"/>
    </w:rPr>
  </w:style>
  <w:style w:type="character" w:styleId="999">
    <w:name w:val="Endnote Text Char"/>
    <w:link w:val="998"/>
    <w:uiPriority w:val="99"/>
    <w:rPr>
      <w:sz w:val="20"/>
    </w:rPr>
  </w:style>
  <w:style w:type="character" w:styleId="1000">
    <w:name w:val="endnote reference"/>
    <w:basedOn w:val="1017"/>
    <w:uiPriority w:val="99"/>
    <w:semiHidden/>
    <w:unhideWhenUsed/>
    <w:rPr>
      <w:vertAlign w:val="superscript"/>
    </w:rPr>
  </w:style>
  <w:style w:type="paragraph" w:styleId="1001">
    <w:name w:val="toc 1"/>
    <w:basedOn w:val="1012"/>
    <w:next w:val="1012"/>
    <w:uiPriority w:val="39"/>
    <w:unhideWhenUsed/>
    <w:pPr>
      <w:ind w:left="0" w:right="0" w:firstLine="0"/>
      <w:spacing w:after="57"/>
    </w:pPr>
  </w:style>
  <w:style w:type="paragraph" w:styleId="1002">
    <w:name w:val="toc 2"/>
    <w:basedOn w:val="1012"/>
    <w:next w:val="1012"/>
    <w:uiPriority w:val="39"/>
    <w:unhideWhenUsed/>
    <w:pPr>
      <w:ind w:left="283" w:right="0" w:firstLine="0"/>
      <w:spacing w:after="57"/>
    </w:pPr>
  </w:style>
  <w:style w:type="paragraph" w:styleId="1003">
    <w:name w:val="toc 3"/>
    <w:basedOn w:val="1012"/>
    <w:next w:val="1012"/>
    <w:uiPriority w:val="39"/>
    <w:unhideWhenUsed/>
    <w:pPr>
      <w:ind w:left="567" w:right="0" w:firstLine="0"/>
      <w:spacing w:after="57"/>
    </w:pPr>
  </w:style>
  <w:style w:type="paragraph" w:styleId="1004">
    <w:name w:val="toc 4"/>
    <w:basedOn w:val="1012"/>
    <w:next w:val="1012"/>
    <w:uiPriority w:val="39"/>
    <w:unhideWhenUsed/>
    <w:pPr>
      <w:ind w:left="850" w:right="0" w:firstLine="0"/>
      <w:spacing w:after="57"/>
    </w:pPr>
  </w:style>
  <w:style w:type="paragraph" w:styleId="1005">
    <w:name w:val="toc 5"/>
    <w:basedOn w:val="1012"/>
    <w:next w:val="1012"/>
    <w:uiPriority w:val="39"/>
    <w:unhideWhenUsed/>
    <w:pPr>
      <w:ind w:left="1134" w:right="0" w:firstLine="0"/>
      <w:spacing w:after="57"/>
    </w:pPr>
  </w:style>
  <w:style w:type="paragraph" w:styleId="1006">
    <w:name w:val="toc 6"/>
    <w:basedOn w:val="1012"/>
    <w:next w:val="1012"/>
    <w:uiPriority w:val="39"/>
    <w:unhideWhenUsed/>
    <w:pPr>
      <w:ind w:left="1417" w:right="0" w:firstLine="0"/>
      <w:spacing w:after="57"/>
    </w:pPr>
  </w:style>
  <w:style w:type="paragraph" w:styleId="1007">
    <w:name w:val="toc 7"/>
    <w:basedOn w:val="1012"/>
    <w:next w:val="1012"/>
    <w:uiPriority w:val="39"/>
    <w:unhideWhenUsed/>
    <w:pPr>
      <w:ind w:left="1701" w:right="0" w:firstLine="0"/>
      <w:spacing w:after="57"/>
    </w:pPr>
  </w:style>
  <w:style w:type="paragraph" w:styleId="1008">
    <w:name w:val="toc 8"/>
    <w:basedOn w:val="1012"/>
    <w:next w:val="1012"/>
    <w:uiPriority w:val="39"/>
    <w:unhideWhenUsed/>
    <w:pPr>
      <w:ind w:left="1984" w:right="0" w:firstLine="0"/>
      <w:spacing w:after="57"/>
    </w:pPr>
  </w:style>
  <w:style w:type="paragraph" w:styleId="1009">
    <w:name w:val="toc 9"/>
    <w:basedOn w:val="1012"/>
    <w:next w:val="1012"/>
    <w:uiPriority w:val="39"/>
    <w:unhideWhenUsed/>
    <w:pPr>
      <w:ind w:left="2268" w:right="0" w:firstLine="0"/>
      <w:spacing w:after="57"/>
    </w:pPr>
  </w:style>
  <w:style w:type="paragraph" w:styleId="1010">
    <w:name w:val="TOC Heading"/>
    <w:uiPriority w:val="39"/>
    <w:unhideWhenUsed/>
  </w:style>
  <w:style w:type="paragraph" w:styleId="1011">
    <w:name w:val="table of figures"/>
    <w:basedOn w:val="1012"/>
    <w:next w:val="1012"/>
    <w:uiPriority w:val="99"/>
    <w:unhideWhenUsed/>
    <w:pPr>
      <w:spacing w:after="0" w:afterAutospacing="0"/>
    </w:pPr>
  </w:style>
  <w:style w:type="paragraph" w:styleId="101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3">
    <w:name w:val="Heading 1"/>
    <w:basedOn w:val="1012"/>
    <w:next w:val="1012"/>
    <w:link w:val="1020"/>
    <w:qFormat/>
    <w:pPr>
      <w:jc w:val="center"/>
      <w:keepNext/>
      <w:outlineLvl w:val="0"/>
    </w:pPr>
    <w:rPr>
      <w:sz w:val="28"/>
    </w:rPr>
  </w:style>
  <w:style w:type="paragraph" w:styleId="1014">
    <w:name w:val="Heading 2"/>
    <w:basedOn w:val="1012"/>
    <w:next w:val="1012"/>
    <w:link w:val="1045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15">
    <w:name w:val="Heading 3"/>
    <w:basedOn w:val="1012"/>
    <w:next w:val="1012"/>
    <w:link w:val="1043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16">
    <w:name w:val="Heading 5"/>
    <w:basedOn w:val="1012"/>
    <w:next w:val="1012"/>
    <w:link w:val="1038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17" w:default="1">
    <w:name w:val="Default Paragraph Font"/>
    <w:uiPriority w:val="1"/>
    <w:semiHidden/>
    <w:unhideWhenUsed/>
  </w:style>
  <w:style w:type="table" w:styleId="10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19" w:default="1">
    <w:name w:val="No List"/>
    <w:uiPriority w:val="99"/>
    <w:semiHidden/>
    <w:unhideWhenUsed/>
  </w:style>
  <w:style w:type="character" w:styleId="1020" w:customStyle="1">
    <w:name w:val="Заголовок 1 Знак"/>
    <w:basedOn w:val="1017"/>
    <w:link w:val="1013"/>
    <w:rPr>
      <w:rFonts w:ascii="Times New Roman" w:hAnsi="Times New Roman" w:eastAsia="Times New Roman" w:cs="Times New Roman"/>
      <w:sz w:val="28"/>
      <w:szCs w:val="24"/>
    </w:rPr>
  </w:style>
  <w:style w:type="paragraph" w:styleId="1021">
    <w:name w:val="Body Text Indent"/>
    <w:basedOn w:val="1012"/>
    <w:link w:val="1022"/>
    <w:uiPriority w:val="99"/>
    <w:pPr>
      <w:ind w:left="1083" w:firstLine="537"/>
      <w:jc w:val="both"/>
      <w:tabs>
        <w:tab w:val="num" w:pos="0" w:leader="none"/>
      </w:tabs>
    </w:pPr>
  </w:style>
  <w:style w:type="character" w:styleId="1022" w:customStyle="1">
    <w:name w:val="Основной текст с отступом Знак"/>
    <w:basedOn w:val="1017"/>
    <w:link w:val="1021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23">
    <w:name w:val="Normal (Web)"/>
    <w:basedOn w:val="1012"/>
    <w:uiPriority w:val="99"/>
    <w:pPr>
      <w:spacing w:before="100" w:beforeAutospacing="1" w:after="100" w:afterAutospacing="1"/>
    </w:pPr>
  </w:style>
  <w:style w:type="paragraph" w:styleId="1024">
    <w:name w:val="Title"/>
    <w:basedOn w:val="1012"/>
    <w:link w:val="1025"/>
    <w:uiPriority w:val="10"/>
    <w:qFormat/>
    <w:pPr>
      <w:jc w:val="center"/>
    </w:pPr>
    <w:rPr>
      <w:sz w:val="28"/>
    </w:rPr>
  </w:style>
  <w:style w:type="character" w:styleId="1025" w:customStyle="1">
    <w:name w:val="Заголовок Знак"/>
    <w:basedOn w:val="1017"/>
    <w:link w:val="1024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26" w:customStyle="1">
    <w:name w:val="Подподпункт"/>
    <w:basedOn w:val="1012"/>
  </w:style>
  <w:style w:type="paragraph" w:styleId="1027">
    <w:name w:val="Plain Text"/>
    <w:basedOn w:val="1012"/>
    <w:link w:val="1028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28" w:customStyle="1">
    <w:name w:val="Текст Знак"/>
    <w:basedOn w:val="1017"/>
    <w:link w:val="1027"/>
    <w:uiPriority w:val="99"/>
    <w:rPr>
      <w:rFonts w:ascii="Consolas" w:hAnsi="Consolas" w:eastAsia="Calibri" w:cs="Times New Roman"/>
      <w:sz w:val="21"/>
      <w:szCs w:val="21"/>
    </w:rPr>
  </w:style>
  <w:style w:type="character" w:styleId="1029">
    <w:name w:val="annotation reference"/>
    <w:uiPriority w:val="99"/>
    <w:rPr>
      <w:sz w:val="16"/>
      <w:szCs w:val="16"/>
    </w:rPr>
  </w:style>
  <w:style w:type="paragraph" w:styleId="1030">
    <w:name w:val="annotation text"/>
    <w:basedOn w:val="1012"/>
    <w:link w:val="1031"/>
    <w:uiPriority w:val="99"/>
    <w:rPr>
      <w:sz w:val="20"/>
      <w:szCs w:val="20"/>
    </w:rPr>
  </w:style>
  <w:style w:type="character" w:styleId="1031" w:customStyle="1">
    <w:name w:val="Текст примечания Знак"/>
    <w:basedOn w:val="1017"/>
    <w:link w:val="103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2">
    <w:name w:val="Balloon Text"/>
    <w:basedOn w:val="1012"/>
    <w:link w:val="1033"/>
    <w:uiPriority w:val="99"/>
    <w:semiHidden/>
    <w:unhideWhenUsed/>
    <w:rPr>
      <w:rFonts w:ascii="Tahoma" w:hAnsi="Tahoma" w:cs="Tahoma"/>
      <w:sz w:val="16"/>
      <w:szCs w:val="16"/>
    </w:rPr>
  </w:style>
  <w:style w:type="character" w:styleId="1033" w:customStyle="1">
    <w:name w:val="Текст выноски Знак"/>
    <w:basedOn w:val="1017"/>
    <w:link w:val="103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34">
    <w:name w:val="annotation subject"/>
    <w:basedOn w:val="1030"/>
    <w:next w:val="1030"/>
    <w:link w:val="1035"/>
    <w:uiPriority w:val="99"/>
    <w:semiHidden/>
    <w:unhideWhenUsed/>
    <w:rPr>
      <w:b/>
      <w:bCs/>
    </w:rPr>
  </w:style>
  <w:style w:type="character" w:styleId="1035" w:customStyle="1">
    <w:name w:val="Тема примечания Знак"/>
    <w:basedOn w:val="1031"/>
    <w:link w:val="103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36">
    <w:name w:val="List Paragraph"/>
    <w:basedOn w:val="1012"/>
    <w:link w:val="1044"/>
    <w:uiPriority w:val="34"/>
    <w:qFormat/>
    <w:pPr>
      <w:contextualSpacing/>
      <w:ind w:left="720"/>
    </w:pPr>
  </w:style>
  <w:style w:type="character" w:styleId="1037">
    <w:name w:val="Hyperlink"/>
    <w:basedOn w:val="1017"/>
    <w:uiPriority w:val="99"/>
    <w:unhideWhenUsed/>
    <w:rPr>
      <w:color w:val="0000ff"/>
      <w:u w:val="single"/>
    </w:rPr>
  </w:style>
  <w:style w:type="character" w:styleId="1038" w:customStyle="1">
    <w:name w:val="Заголовок 5 Знак"/>
    <w:basedOn w:val="1017"/>
    <w:link w:val="1016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39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0">
    <w:name w:val="Footer"/>
    <w:basedOn w:val="1012"/>
    <w:link w:val="1041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41" w:customStyle="1">
    <w:name w:val="Нижний колонтитул Знак"/>
    <w:basedOn w:val="1017"/>
    <w:link w:val="1040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42">
    <w:name w:val="page number"/>
    <w:basedOn w:val="1017"/>
  </w:style>
  <w:style w:type="character" w:styleId="1043" w:customStyle="1">
    <w:name w:val="Заголовок 3 Знак"/>
    <w:basedOn w:val="1017"/>
    <w:link w:val="1015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44" w:customStyle="1">
    <w:name w:val="Абзац списка Знак"/>
    <w:basedOn w:val="1017"/>
    <w:link w:val="1036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45" w:customStyle="1">
    <w:name w:val="Заголовок 2 Знак"/>
    <w:basedOn w:val="1017"/>
    <w:link w:val="1014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46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47" w:customStyle="1">
    <w:name w:val="2-з"/>
    <w:basedOn w:val="1012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48" w:customStyle="1">
    <w:name w:val="3-з"/>
    <w:link w:val="1054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49" w:customStyle="1">
    <w:name w:val="нумерация"/>
    <w:uiPriority w:val="99"/>
    <w:pPr>
      <w:numPr>
        <w:ilvl w:val="0"/>
        <w:numId w:val="26"/>
      </w:numPr>
    </w:pPr>
  </w:style>
  <w:style w:type="paragraph" w:styleId="1050" w:customStyle="1">
    <w:name w:val="4-з"/>
    <w:link w:val="1061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1" w:customStyle="1">
    <w:name w:val="5-з"/>
    <w:basedOn w:val="1012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52" w:customStyle="1">
    <w:name w:val="6-буквы"/>
    <w:basedOn w:val="1012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53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54" w:customStyle="1">
    <w:name w:val="3-з Знак"/>
    <w:basedOn w:val="1017"/>
    <w:link w:val="1048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5" w:customStyle="1">
    <w:name w:val="Абзац списка1"/>
    <w:basedOn w:val="1012"/>
    <w:link w:val="1056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56" w:customStyle="1">
    <w:name w:val="List Paragraph Char"/>
    <w:link w:val="1055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5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58">
    <w:name w:val="footnote text"/>
    <w:basedOn w:val="1012"/>
    <w:link w:val="1059"/>
    <w:uiPriority w:val="99"/>
    <w:unhideWhenUsed/>
    <w:rPr>
      <w:sz w:val="20"/>
      <w:szCs w:val="20"/>
    </w:rPr>
  </w:style>
  <w:style w:type="character" w:styleId="1059" w:customStyle="1">
    <w:name w:val="Текст сноски Знак"/>
    <w:basedOn w:val="1017"/>
    <w:link w:val="105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60">
    <w:name w:val="footnote reference"/>
    <w:basedOn w:val="1017"/>
    <w:uiPriority w:val="99"/>
    <w:unhideWhenUsed/>
    <w:rPr>
      <w:vertAlign w:val="superscript"/>
    </w:rPr>
  </w:style>
  <w:style w:type="character" w:styleId="1061" w:customStyle="1">
    <w:name w:val="4-з Знак"/>
    <w:basedOn w:val="1017"/>
    <w:link w:val="1050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697B-E7F8-4EED-9D1F-D9C34B4E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Gubina-OS</cp:lastModifiedBy>
  <cp:revision>53</cp:revision>
  <dcterms:created xsi:type="dcterms:W3CDTF">2024-01-30T04:06:00Z</dcterms:created>
  <dcterms:modified xsi:type="dcterms:W3CDTF">2026-07-29T08:26:46Z</dcterms:modified>
</cp:coreProperties>
</file>